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October 2,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United Healthcare Insurance Co. of New York,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Empire Plan,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Kingston, N.Y.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Enrollee : [NAME]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Enrollee ID : [# FOUND ON NYSHIP ID CARD]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Group No. 0030500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Refer to my enclosed claim forms which were processed and denied recently.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note that as discussed with your Resolution Centre on September 22, 2015, they confirm that my coverage has been updated and all claims will be re-considered.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 faxed herewith my outstanding claims for your re-consideration.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